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W w:w="9054" w:type="dxa"/>
        <w:tblLook w:val="04A0" w:firstRow="1" w:lastRow="0" w:firstColumn="1" w:lastColumn="0" w:noHBand="0" w:noVBand="1"/>
      </w:tblPr>
      <w:tblGrid>
        <w:gridCol w:w="2943"/>
        <w:gridCol w:w="1172"/>
        <w:gridCol w:w="1238"/>
        <w:gridCol w:w="1021"/>
        <w:gridCol w:w="2680"/>
      </w:tblGrid>
      <w:tr w:rsidR="009102BF"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sz w:val="20"/>
                <w:szCs w:val="20"/>
                <w:lang w:eastAsia="es-MX"/>
              </w:rPr>
              <w:t>Exposición 1 de 1</w:t>
            </w:r>
          </w:p>
        </w:tc>
        <w:tc>
          <w:tcPr>
            <w:tcW w:w="6111" w:type="dxa"/>
            <w:gridSpan w:val="4"/>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lang w:eastAsia="es-MX"/>
              </w:rPr>
              <w:t>Inic</w:t>
            </w:r>
            <w:r w:rsidR="00EC2E33">
              <w:rPr>
                <w:rFonts w:ascii="Arial" w:eastAsia="Times New Roman" w:hAnsi="Arial" w:cs="Arial"/>
                <w:color w:val="FFFFFF" w:themeColor="background1"/>
                <w:lang w:eastAsia="es-MX"/>
              </w:rPr>
              <w:t>iativas para Ley de Ingreso 2020</w:t>
            </w:r>
          </w:p>
        </w:tc>
      </w:tr>
      <w:tr w:rsidR="009102BF" w:rsidTr="009102BF">
        <w:trPr>
          <w:tblHeader/>
        </w:trPr>
        <w:tc>
          <w:tcPr>
            <w:tcW w:w="9054" w:type="dxa"/>
            <w:gridSpan w:val="5"/>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eastAsia="Times New Roman" w:hAnsi="Arial" w:cs="Arial"/>
                <w:b/>
                <w:bCs/>
                <w:color w:val="000000"/>
                <w:sz w:val="36"/>
                <w:szCs w:val="36"/>
                <w:lang w:eastAsia="es-MX"/>
              </w:rPr>
            </w:pPr>
            <w:r>
              <w:rPr>
                <w:rFonts w:ascii="Arial" w:eastAsia="Times New Roman" w:hAnsi="Arial" w:cs="Arial"/>
                <w:b/>
                <w:bCs/>
                <w:color w:val="000000"/>
                <w:sz w:val="36"/>
                <w:szCs w:val="36"/>
                <w:lang w:eastAsia="es-MX"/>
              </w:rPr>
              <w:t>Formato para exposición motivos</w:t>
            </w:r>
          </w:p>
        </w:tc>
      </w:tr>
      <w:tr w:rsidR="009102BF"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9102BF" w:rsidRDefault="009102BF">
            <w:pPr>
              <w:spacing w:line="240" w:lineRule="auto"/>
              <w:jc w:val="center"/>
              <w:rPr>
                <w:rFonts w:ascii="Arial" w:eastAsia="Times New Roman" w:hAnsi="Arial" w:cs="Arial"/>
                <w:color w:val="000000"/>
                <w:lang w:eastAsia="es-MX"/>
              </w:rPr>
            </w:pPr>
            <w:r>
              <w:rPr>
                <w:rFonts w:ascii="Arial" w:eastAsia="Times New Roman" w:hAnsi="Arial" w:cs="Arial"/>
                <w:color w:val="000000"/>
                <w:lang w:eastAsia="es-MX"/>
              </w:rPr>
              <w:t>Municipio</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102BF" w:rsidRDefault="009102BF">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16"/>
                <w:szCs w:val="16"/>
                <w:lang w:eastAsia="es-MX"/>
              </w:rPr>
              <w:t>Poner los datos de ubicación en relación a la iniciativa</w:t>
            </w:r>
          </w:p>
        </w:tc>
        <w:tc>
          <w:tcPr>
            <w:tcW w:w="1238"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Artículo</w:t>
            </w:r>
          </w:p>
        </w:tc>
        <w:tc>
          <w:tcPr>
            <w:tcW w:w="102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102BF" w:rsidRDefault="00E0197E">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18</w:t>
            </w:r>
          </w:p>
        </w:tc>
        <w:tc>
          <w:tcPr>
            <w:tcW w:w="26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9102BF" w:rsidRDefault="009102BF">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Concepto de cobro</w:t>
            </w:r>
          </w:p>
        </w:tc>
      </w:tr>
      <w:tr w:rsidR="009102BF" w:rsidTr="009102BF">
        <w:trPr>
          <w:trHeight w:val="420"/>
          <w:tblHeader/>
        </w:trPr>
        <w:tc>
          <w:tcPr>
            <w:tcW w:w="2943" w:type="dxa"/>
            <w:vMerge w:val="restart"/>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Guanajuato, Guanajuato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20"/>
                <w:szCs w:val="2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Fracción</w:t>
            </w:r>
          </w:p>
        </w:tc>
        <w:tc>
          <w:tcPr>
            <w:tcW w:w="1021" w:type="dxa"/>
            <w:tcBorders>
              <w:top w:val="single" w:sz="4" w:space="0" w:color="auto"/>
              <w:left w:val="single" w:sz="4" w:space="0" w:color="auto"/>
              <w:bottom w:val="single" w:sz="4" w:space="0" w:color="auto"/>
              <w:right w:val="single" w:sz="4" w:space="0" w:color="auto"/>
            </w:tcBorders>
            <w:vAlign w:val="center"/>
            <w:hideMark/>
          </w:tcPr>
          <w:p w:rsidR="009102BF" w:rsidRDefault="00E0197E">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I</w:t>
            </w:r>
          </w:p>
        </w:tc>
        <w:tc>
          <w:tcPr>
            <w:tcW w:w="2680" w:type="dxa"/>
            <w:vMerge w:val="restart"/>
            <w:tcBorders>
              <w:top w:val="single" w:sz="4" w:space="0" w:color="auto"/>
              <w:left w:val="single" w:sz="4" w:space="0" w:color="auto"/>
              <w:bottom w:val="single" w:sz="4" w:space="0" w:color="auto"/>
              <w:right w:val="single" w:sz="4" w:space="0" w:color="auto"/>
            </w:tcBorders>
            <w:vAlign w:val="center"/>
            <w:hideMark/>
          </w:tcPr>
          <w:p w:rsidR="009102BF" w:rsidRDefault="00E0197E">
            <w:pPr>
              <w:spacing w:line="240" w:lineRule="auto"/>
              <w:jc w:val="center"/>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Pago de vigilancia por evento</w:t>
            </w:r>
          </w:p>
        </w:tc>
      </w:tr>
      <w:tr w:rsidR="009102BF" w:rsidTr="009102BF">
        <w:trPr>
          <w:trHeight w:val="24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16"/>
                <w:szCs w:val="16"/>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20"/>
                <w:szCs w:val="2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Inciso</w:t>
            </w:r>
          </w:p>
        </w:tc>
        <w:tc>
          <w:tcPr>
            <w:tcW w:w="1021" w:type="dxa"/>
            <w:tcBorders>
              <w:top w:val="single" w:sz="4" w:space="0" w:color="auto"/>
              <w:left w:val="single" w:sz="4" w:space="0" w:color="auto"/>
              <w:bottom w:val="single" w:sz="4" w:space="0" w:color="auto"/>
              <w:right w:val="single" w:sz="4" w:space="0" w:color="auto"/>
            </w:tcBorders>
            <w:vAlign w:val="center"/>
          </w:tcPr>
          <w:p w:rsidR="009102BF" w:rsidRDefault="009102BF">
            <w:pPr>
              <w:spacing w:line="240" w:lineRule="auto"/>
              <w:jc w:val="center"/>
              <w:rPr>
                <w:rFonts w:ascii="Arial" w:eastAsia="Times New Roman" w:hAnsi="Arial" w:cs="Arial"/>
                <w:b/>
                <w:color w:val="0070C0"/>
                <w:sz w:val="16"/>
                <w:szCs w:val="16"/>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20"/>
                <w:szCs w:val="20"/>
                <w:lang w:eastAsia="es-MX"/>
              </w:rPr>
            </w:pPr>
          </w:p>
        </w:tc>
      </w:tr>
      <w:tr w:rsidR="009102BF" w:rsidTr="009102BF">
        <w:trPr>
          <w:trHeight w:val="2042"/>
        </w:trPr>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Situación actual del hecho generador:</w:t>
            </w:r>
          </w:p>
          <w:p w:rsidR="009102BF" w:rsidRDefault="009102BF">
            <w:pPr>
              <w:spacing w:line="240" w:lineRule="auto"/>
              <w:rPr>
                <w:rFonts w:ascii="Arial" w:hAnsi="Arial" w:cs="Arial"/>
              </w:rPr>
            </w:pPr>
          </w:p>
          <w:p w:rsidR="009102BF" w:rsidRDefault="009102BF">
            <w:pPr>
              <w:pStyle w:val="Prrafodelista"/>
              <w:spacing w:line="240" w:lineRule="auto"/>
              <w:ind w:left="34"/>
              <w:jc w:val="center"/>
              <w:rPr>
                <w:rFonts w:ascii="Arial" w:hAnsi="Arial" w:cs="Arial"/>
              </w:rPr>
            </w:pPr>
            <w:r>
              <w:rPr>
                <w:rFonts w:ascii="Arial" w:hAnsi="Arial" w:cs="Arial"/>
                <w:color w:val="222222"/>
                <w:shd w:val="clear" w:color="auto" w:fill="FFFFFF"/>
              </w:rPr>
              <w:t>*</w:t>
            </w:r>
            <w:r>
              <w:rPr>
                <w:rFonts w:ascii="Arial" w:hAnsi="Arial" w:cs="Arial"/>
              </w:rPr>
              <w:t>Es la circunstancia o condición que da nacimiento a la obligación tributaria.</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rsidR="00E0197E" w:rsidRDefault="00E0197E" w:rsidP="00E0197E">
            <w:pPr>
              <w:tabs>
                <w:tab w:val="left" w:pos="1578"/>
              </w:tabs>
              <w:spacing w:line="240" w:lineRule="auto"/>
              <w:jc w:val="both"/>
              <w:rPr>
                <w:rFonts w:ascii="Arial" w:eastAsia="Times New Roman" w:hAnsi="Arial" w:cs="Arial"/>
                <w:sz w:val="20"/>
                <w:szCs w:val="20"/>
                <w:lang w:eastAsia="es-MX"/>
              </w:rPr>
            </w:pPr>
            <w:r>
              <w:rPr>
                <w:rFonts w:ascii="Arial" w:eastAsia="Times New Roman" w:hAnsi="Arial" w:cs="Arial"/>
                <w:sz w:val="20"/>
                <w:szCs w:val="20"/>
                <w:lang w:eastAsia="es-MX"/>
              </w:rPr>
              <w:t>Derivado del Artículo de 2 de la Ley de Hacienda para los municipios del Estado de Guanajuato. Fracción I inciso A) Son contribuciones: los Impuestos, derechos y contribuciones especiales.</w:t>
            </w:r>
          </w:p>
          <w:p w:rsidR="00E0197E" w:rsidRDefault="00E0197E" w:rsidP="00E0197E">
            <w:pPr>
              <w:tabs>
                <w:tab w:val="left" w:pos="1578"/>
              </w:tabs>
              <w:spacing w:line="360" w:lineRule="auto"/>
              <w:jc w:val="both"/>
              <w:rPr>
                <w:rFonts w:ascii="Arial" w:eastAsia="Times New Roman" w:hAnsi="Arial" w:cs="Arial"/>
                <w:sz w:val="20"/>
                <w:szCs w:val="20"/>
                <w:lang w:eastAsia="es-MX"/>
              </w:rPr>
            </w:pPr>
            <w:r>
              <w:rPr>
                <w:rFonts w:ascii="Arial" w:eastAsia="Times New Roman" w:hAnsi="Arial" w:cs="Arial"/>
                <w:sz w:val="20"/>
                <w:szCs w:val="20"/>
                <w:lang w:eastAsia="es-MX"/>
              </w:rPr>
              <w:t xml:space="preserve">Y que en la Ley de Ingresos para el Municipio de Guanajuato, Guanajuato, para el ejercicio fiscal del año 2019, se indica en el </w:t>
            </w:r>
            <w:r w:rsidRPr="0017274C">
              <w:rPr>
                <w:rFonts w:ascii="Arial" w:eastAsia="Times New Roman" w:hAnsi="Arial" w:cs="Arial"/>
                <w:sz w:val="20"/>
                <w:szCs w:val="20"/>
                <w:lang w:eastAsia="es-MX"/>
              </w:rPr>
              <w:t>Artículo 18.- Por la prestación de servicios de seguridad pública, cuando medie solicitud se causarán y liquidarán conforme a lo siguiente</w:t>
            </w:r>
            <w:r>
              <w:rPr>
                <w:rFonts w:ascii="Arial" w:eastAsia="Times New Roman" w:hAnsi="Arial" w:cs="Arial"/>
                <w:sz w:val="20"/>
                <w:szCs w:val="20"/>
                <w:lang w:eastAsia="es-MX"/>
              </w:rPr>
              <w:t>:</w:t>
            </w:r>
          </w:p>
          <w:p w:rsidR="00E0197E" w:rsidRPr="00CB1550" w:rsidRDefault="00E0197E" w:rsidP="00E0197E">
            <w:pPr>
              <w:tabs>
                <w:tab w:val="left" w:pos="1578"/>
              </w:tabs>
              <w:spacing w:line="360" w:lineRule="auto"/>
              <w:jc w:val="both"/>
              <w:rPr>
                <w:rFonts w:ascii="Arial" w:eastAsia="Times New Roman" w:hAnsi="Arial" w:cs="Arial"/>
                <w:sz w:val="20"/>
                <w:szCs w:val="20"/>
                <w:lang w:eastAsia="es-MX"/>
              </w:rPr>
            </w:pPr>
            <w:r w:rsidRPr="00CB1550">
              <w:rPr>
                <w:rFonts w:ascii="Arial" w:eastAsia="Times New Roman" w:hAnsi="Arial" w:cs="Arial"/>
                <w:sz w:val="20"/>
                <w:szCs w:val="20"/>
                <w:lang w:eastAsia="es-MX"/>
              </w:rPr>
              <w:t>I.- Pago de vigilancia por evento, por elemento policial con duración de 6 horas, con un costo de $379.24</w:t>
            </w:r>
          </w:p>
          <w:p w:rsidR="00E0197E" w:rsidRDefault="00E0197E" w:rsidP="00E0197E">
            <w:pPr>
              <w:tabs>
                <w:tab w:val="left" w:pos="1578"/>
              </w:tabs>
              <w:spacing w:line="240" w:lineRule="auto"/>
              <w:jc w:val="both"/>
              <w:rPr>
                <w:rFonts w:ascii="Arial" w:eastAsia="Times New Roman" w:hAnsi="Arial" w:cs="Arial"/>
                <w:sz w:val="20"/>
                <w:szCs w:val="20"/>
                <w:lang w:eastAsia="es-MX"/>
              </w:rPr>
            </w:pPr>
            <w:r w:rsidRPr="00CB1550">
              <w:rPr>
                <w:rFonts w:ascii="Arial" w:eastAsia="Times New Roman" w:hAnsi="Arial" w:cs="Arial"/>
                <w:sz w:val="20"/>
                <w:szCs w:val="20"/>
                <w:lang w:eastAsia="es-MX"/>
              </w:rPr>
              <w:t>II.-Por hora excedente, con un costo de $72.84.</w:t>
            </w:r>
          </w:p>
          <w:p w:rsidR="009102BF" w:rsidRDefault="009102BF">
            <w:pPr>
              <w:tabs>
                <w:tab w:val="left" w:pos="1578"/>
              </w:tabs>
              <w:spacing w:line="240" w:lineRule="auto"/>
              <w:jc w:val="both"/>
              <w:rPr>
                <w:rFonts w:ascii="Arial" w:eastAsia="Times New Roman" w:hAnsi="Arial" w:cs="Arial"/>
                <w:sz w:val="20"/>
                <w:szCs w:val="20"/>
                <w:lang w:eastAsia="es-MX"/>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eastAsia="Times New Roman" w:hAnsi="Arial" w:cs="Arial"/>
                <w:color w:val="000000"/>
                <w:sz w:val="20"/>
                <w:szCs w:val="20"/>
                <w:lang w:eastAsia="es-MX"/>
              </w:rPr>
            </w:pPr>
          </w:p>
        </w:tc>
      </w:tr>
      <w:tr w:rsidR="009102BF" w:rsidTr="009102BF">
        <w:tc>
          <w:tcPr>
            <w:tcW w:w="9054" w:type="dxa"/>
            <w:gridSpan w:val="5"/>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Nuevo incremento sobre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Tasa o tarifa actual:</w:t>
            </w:r>
          </w:p>
          <w:p w:rsidR="009102BF" w:rsidRDefault="009102BF">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 Las contenidas en la Ley vigente</w:t>
            </w:r>
          </w:p>
          <w:p w:rsidR="009102BF" w:rsidRPr="00B32600" w:rsidRDefault="009102BF">
            <w:pPr>
              <w:spacing w:line="240" w:lineRule="auto"/>
              <w:rPr>
                <w:rFonts w:ascii="Arial" w:eastAsia="Times New Roman" w:hAnsi="Arial" w:cs="Arial"/>
                <w:color w:val="000000"/>
                <w:sz w:val="2"/>
                <w:szCs w:val="2"/>
                <w:lang w:eastAsia="es-MX"/>
              </w:rPr>
            </w:pPr>
          </w:p>
          <w:p w:rsidR="00E0197E" w:rsidRDefault="00E0197E" w:rsidP="00E0197E">
            <w:pPr>
              <w:tabs>
                <w:tab w:val="left" w:pos="1578"/>
              </w:tabs>
              <w:spacing w:line="360" w:lineRule="auto"/>
              <w:jc w:val="both"/>
              <w:rPr>
                <w:rFonts w:ascii="Arial" w:eastAsia="Times New Roman" w:hAnsi="Arial" w:cs="Arial"/>
                <w:sz w:val="20"/>
                <w:szCs w:val="20"/>
                <w:lang w:eastAsia="es-MX"/>
              </w:rPr>
            </w:pPr>
            <w:r w:rsidRPr="0017274C">
              <w:rPr>
                <w:rFonts w:ascii="Arial" w:eastAsia="Times New Roman" w:hAnsi="Arial" w:cs="Arial"/>
                <w:sz w:val="20"/>
                <w:szCs w:val="20"/>
                <w:lang w:eastAsia="es-MX"/>
              </w:rPr>
              <w:t>18.- Por la prestación de servicios de seguridad pública, cuando medie solicitud se causarán y liquidarán conforme a lo siguiente</w:t>
            </w:r>
            <w:r>
              <w:rPr>
                <w:rFonts w:ascii="Arial" w:eastAsia="Times New Roman" w:hAnsi="Arial" w:cs="Arial"/>
                <w:sz w:val="20"/>
                <w:szCs w:val="20"/>
                <w:lang w:eastAsia="es-MX"/>
              </w:rPr>
              <w:t>:</w:t>
            </w:r>
          </w:p>
          <w:p w:rsidR="00E0197E" w:rsidRPr="00CB1550" w:rsidRDefault="00E0197E" w:rsidP="00E0197E">
            <w:pPr>
              <w:tabs>
                <w:tab w:val="left" w:pos="1578"/>
              </w:tabs>
              <w:spacing w:line="360" w:lineRule="auto"/>
              <w:jc w:val="both"/>
              <w:rPr>
                <w:rFonts w:ascii="Arial" w:eastAsia="Times New Roman" w:hAnsi="Arial" w:cs="Arial"/>
                <w:sz w:val="20"/>
                <w:szCs w:val="20"/>
                <w:lang w:eastAsia="es-MX"/>
              </w:rPr>
            </w:pPr>
            <w:r w:rsidRPr="00CB1550">
              <w:rPr>
                <w:rFonts w:ascii="Arial" w:eastAsia="Times New Roman" w:hAnsi="Arial" w:cs="Arial"/>
                <w:sz w:val="20"/>
                <w:szCs w:val="20"/>
                <w:lang w:eastAsia="es-MX"/>
              </w:rPr>
              <w:t>I.- Pago de vigilancia por evento, por elemento policial con duración de 6 horas, con un costo de $379.24</w:t>
            </w:r>
          </w:p>
          <w:p w:rsidR="00E0197E" w:rsidRDefault="00E0197E" w:rsidP="00E0197E">
            <w:pPr>
              <w:tabs>
                <w:tab w:val="left" w:pos="1578"/>
              </w:tabs>
              <w:spacing w:line="240" w:lineRule="auto"/>
              <w:jc w:val="both"/>
              <w:rPr>
                <w:rFonts w:ascii="Arial" w:eastAsia="Times New Roman" w:hAnsi="Arial" w:cs="Arial"/>
                <w:sz w:val="20"/>
                <w:szCs w:val="20"/>
                <w:lang w:eastAsia="es-MX"/>
              </w:rPr>
            </w:pPr>
            <w:r w:rsidRPr="00CB1550">
              <w:rPr>
                <w:rFonts w:ascii="Arial" w:eastAsia="Times New Roman" w:hAnsi="Arial" w:cs="Arial"/>
                <w:sz w:val="20"/>
                <w:szCs w:val="20"/>
                <w:lang w:eastAsia="es-MX"/>
              </w:rPr>
              <w:t>II.-Por hora excedente, con un costo de $72.84.</w:t>
            </w:r>
          </w:p>
          <w:p w:rsidR="009102BF" w:rsidRDefault="009102BF" w:rsidP="00B32600">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Tasa o tarifa propuesta:</w:t>
            </w:r>
          </w:p>
          <w:p w:rsidR="009102BF" w:rsidRDefault="009102BF">
            <w:pPr>
              <w:spacing w:line="240" w:lineRule="auto"/>
              <w:jc w:val="both"/>
              <w:rPr>
                <w:rFonts w:ascii="Arial" w:hAnsi="Arial" w:cs="Arial"/>
              </w:rPr>
            </w:pPr>
          </w:p>
          <w:tbl>
            <w:tblPr>
              <w:tblW w:w="5000" w:type="pct"/>
              <w:tblCellMar>
                <w:left w:w="70" w:type="dxa"/>
                <w:right w:w="70" w:type="dxa"/>
              </w:tblCellMar>
              <w:tblLook w:val="04A0" w:firstRow="1" w:lastRow="0" w:firstColumn="1" w:lastColumn="0" w:noHBand="0" w:noVBand="1"/>
            </w:tblPr>
            <w:tblGrid>
              <w:gridCol w:w="4751"/>
              <w:gridCol w:w="1144"/>
            </w:tblGrid>
            <w:tr w:rsidR="00E0197E" w:rsidRPr="000948EA" w:rsidTr="00AE393A">
              <w:trPr>
                <w:trHeight w:val="300"/>
              </w:trPr>
              <w:tc>
                <w:tcPr>
                  <w:tcW w:w="4030" w:type="pct"/>
                  <w:vAlign w:val="bottom"/>
                  <w:hideMark/>
                </w:tcPr>
                <w:p w:rsidR="00E0197E" w:rsidRPr="00C8432F" w:rsidRDefault="00E0197E" w:rsidP="00E0197E">
                  <w:pPr>
                    <w:tabs>
                      <w:tab w:val="left" w:pos="1578"/>
                    </w:tabs>
                    <w:spacing w:after="0" w:line="360" w:lineRule="auto"/>
                    <w:jc w:val="both"/>
                    <w:rPr>
                      <w:rFonts w:ascii="Arial" w:eastAsia="Times New Roman" w:hAnsi="Arial" w:cs="Arial"/>
                      <w:color w:val="000000"/>
                      <w:sz w:val="20"/>
                      <w:szCs w:val="24"/>
                      <w:lang w:eastAsia="es-MX"/>
                    </w:rPr>
                  </w:pPr>
                  <w:r>
                    <w:rPr>
                      <w:rFonts w:ascii="Arial" w:eastAsia="Times New Roman" w:hAnsi="Arial" w:cs="Arial"/>
                      <w:color w:val="000000"/>
                      <w:sz w:val="20"/>
                      <w:szCs w:val="24"/>
                      <w:lang w:eastAsia="es-MX"/>
                    </w:rPr>
                    <w:t>Considerando que para este ejercicio fiscal 2019, éste concepto denominado “</w:t>
                  </w:r>
                  <w:r w:rsidRPr="000948EA">
                    <w:rPr>
                      <w:rFonts w:ascii="Arial" w:eastAsia="Times New Roman" w:hAnsi="Arial" w:cs="Arial"/>
                      <w:color w:val="000000"/>
                      <w:sz w:val="20"/>
                      <w:szCs w:val="24"/>
                      <w:lang w:eastAsia="es-MX"/>
                    </w:rPr>
                    <w:t xml:space="preserve">Pago de vigilancia por evento, por elemento policial con duración de 6 horas, con un costo de $379.24”, </w:t>
                  </w:r>
                  <w:r>
                    <w:rPr>
                      <w:rFonts w:ascii="Arial" w:eastAsia="Times New Roman" w:hAnsi="Arial" w:cs="Arial"/>
                      <w:color w:val="000000"/>
                      <w:sz w:val="20"/>
                      <w:szCs w:val="24"/>
                      <w:lang w:eastAsia="es-MX"/>
                    </w:rPr>
                    <w:t>d</w:t>
                  </w:r>
                  <w:r w:rsidRPr="00C8432F">
                    <w:rPr>
                      <w:rFonts w:ascii="Arial" w:eastAsia="Times New Roman" w:hAnsi="Arial" w:cs="Arial"/>
                      <w:color w:val="000000"/>
                      <w:sz w:val="20"/>
                      <w:szCs w:val="24"/>
                      <w:lang w:eastAsia="es-MX"/>
                    </w:rPr>
                    <w:t>e acuerdo al análisis del reporte comparativo de ingresos</w:t>
                  </w:r>
                  <w:r>
                    <w:rPr>
                      <w:rFonts w:ascii="Arial" w:eastAsia="Times New Roman" w:hAnsi="Arial" w:cs="Arial"/>
                      <w:color w:val="000000"/>
                      <w:sz w:val="20"/>
                      <w:szCs w:val="24"/>
                      <w:lang w:eastAsia="es-MX"/>
                    </w:rPr>
                    <w:t>,</w:t>
                  </w:r>
                  <w:r w:rsidRPr="00C8432F">
                    <w:rPr>
                      <w:rFonts w:ascii="Arial" w:eastAsia="Times New Roman" w:hAnsi="Arial" w:cs="Arial"/>
                      <w:color w:val="000000"/>
                      <w:sz w:val="20"/>
                      <w:szCs w:val="24"/>
                      <w:lang w:eastAsia="es-MX"/>
                    </w:rPr>
                    <w:t xml:space="preserve"> no tienen ingresos generados estos dos conceptos anteriores, asimismo tampoco tuvo ingresos en</w:t>
                  </w:r>
                  <w:r>
                    <w:rPr>
                      <w:rFonts w:ascii="Arial" w:eastAsia="Times New Roman" w:hAnsi="Arial" w:cs="Arial"/>
                      <w:color w:val="000000"/>
                      <w:sz w:val="20"/>
                      <w:szCs w:val="24"/>
                      <w:lang w:eastAsia="es-MX"/>
                    </w:rPr>
                    <w:t xml:space="preserve"> los ejercicios fiscales 2016, </w:t>
                  </w:r>
                  <w:r w:rsidRPr="00C8432F">
                    <w:rPr>
                      <w:rFonts w:ascii="Arial" w:eastAsia="Times New Roman" w:hAnsi="Arial" w:cs="Arial"/>
                      <w:color w:val="000000"/>
                      <w:sz w:val="20"/>
                      <w:szCs w:val="24"/>
                      <w:lang w:eastAsia="es-MX"/>
                    </w:rPr>
                    <w:t>2017</w:t>
                  </w:r>
                  <w:r>
                    <w:rPr>
                      <w:rFonts w:ascii="Arial" w:eastAsia="Times New Roman" w:hAnsi="Arial" w:cs="Arial"/>
                      <w:color w:val="000000"/>
                      <w:sz w:val="20"/>
                      <w:szCs w:val="24"/>
                      <w:lang w:eastAsia="es-MX"/>
                    </w:rPr>
                    <w:t xml:space="preserve"> y 2018</w:t>
                  </w:r>
                  <w:r w:rsidRPr="00C8432F">
                    <w:rPr>
                      <w:rFonts w:ascii="Arial" w:eastAsia="Times New Roman" w:hAnsi="Arial" w:cs="Arial"/>
                      <w:color w:val="000000"/>
                      <w:sz w:val="20"/>
                      <w:szCs w:val="24"/>
                      <w:lang w:eastAsia="es-MX"/>
                    </w:rPr>
                    <w:t>,</w:t>
                  </w:r>
                  <w:r>
                    <w:rPr>
                      <w:rFonts w:ascii="Arial" w:eastAsia="Times New Roman" w:hAnsi="Arial" w:cs="Arial"/>
                      <w:color w:val="000000"/>
                      <w:sz w:val="20"/>
                      <w:szCs w:val="24"/>
                      <w:lang w:eastAsia="es-MX"/>
                    </w:rPr>
                    <w:t xml:space="preserve"> teniendo en consideración</w:t>
                  </w:r>
                  <w:r w:rsidRPr="00C8432F">
                    <w:rPr>
                      <w:rFonts w:ascii="Arial" w:eastAsia="Times New Roman" w:hAnsi="Arial" w:cs="Arial"/>
                      <w:color w:val="000000"/>
                      <w:sz w:val="20"/>
                      <w:szCs w:val="24"/>
                      <w:lang w:eastAsia="es-MX"/>
                    </w:rPr>
                    <w:t xml:space="preserve"> que para este tipo de servicios no se puede realizar cobro alguno, por lo que se propone eliminarlo con base en la fracción VII del artículo 44 de la Ley del Sistema de Seguridad Pública del Estado de Guanajuato, la cual establece lo siguiente:</w:t>
                  </w:r>
                </w:p>
                <w:p w:rsidR="00E0197E" w:rsidRPr="00C8432F" w:rsidRDefault="00E0197E" w:rsidP="00E0197E">
                  <w:pPr>
                    <w:spacing w:after="0" w:line="240" w:lineRule="auto"/>
                    <w:rPr>
                      <w:rFonts w:ascii="Arial" w:eastAsia="Times New Roman" w:hAnsi="Arial" w:cs="Arial"/>
                      <w:color w:val="000000"/>
                      <w:sz w:val="20"/>
                      <w:szCs w:val="24"/>
                      <w:lang w:eastAsia="es-MX"/>
                    </w:rPr>
                  </w:pPr>
                </w:p>
                <w:p w:rsidR="00E0197E" w:rsidRPr="00C8432F" w:rsidRDefault="00E0197E" w:rsidP="00E0197E">
                  <w:pPr>
                    <w:spacing w:after="0" w:line="240" w:lineRule="auto"/>
                    <w:rPr>
                      <w:rFonts w:ascii="Arial" w:eastAsia="Times New Roman" w:hAnsi="Arial" w:cs="Arial"/>
                      <w:color w:val="000000"/>
                      <w:sz w:val="20"/>
                      <w:szCs w:val="24"/>
                      <w:lang w:eastAsia="es-MX"/>
                    </w:rPr>
                  </w:pPr>
                  <w:r w:rsidRPr="00C8432F">
                    <w:rPr>
                      <w:rFonts w:ascii="Arial" w:eastAsia="Times New Roman" w:hAnsi="Arial" w:cs="Arial"/>
                      <w:color w:val="000000"/>
                      <w:sz w:val="20"/>
                      <w:szCs w:val="24"/>
                      <w:lang w:eastAsia="es-MX"/>
                    </w:rPr>
                    <w:t xml:space="preserve">Artículo 44. Con el objeto de garantizar el cumplimiento de los principios constitucionales de legalidad, objetividad, eficiencia, profesionalismo, honradez y respeto a los derechos humanos, los integrantes de las Instituciones de Seguridad Pública tendrán las siguientes obligaciones: </w:t>
                  </w:r>
                </w:p>
                <w:p w:rsidR="00E0197E" w:rsidRPr="00C8432F" w:rsidRDefault="00E0197E" w:rsidP="00E0197E">
                  <w:pPr>
                    <w:spacing w:after="0" w:line="240" w:lineRule="auto"/>
                    <w:rPr>
                      <w:rFonts w:ascii="Arial" w:eastAsia="Times New Roman" w:hAnsi="Arial" w:cs="Arial"/>
                      <w:color w:val="000000"/>
                      <w:sz w:val="20"/>
                      <w:szCs w:val="24"/>
                      <w:lang w:eastAsia="es-MX"/>
                    </w:rPr>
                  </w:pPr>
                </w:p>
                <w:p w:rsidR="00E0197E" w:rsidRPr="00C8432F" w:rsidRDefault="00E0197E" w:rsidP="00E0197E">
                  <w:pPr>
                    <w:spacing w:after="0" w:line="240" w:lineRule="auto"/>
                    <w:rPr>
                      <w:rFonts w:ascii="Arial" w:eastAsia="Times New Roman" w:hAnsi="Arial" w:cs="Arial"/>
                      <w:color w:val="000000"/>
                      <w:sz w:val="20"/>
                      <w:szCs w:val="24"/>
                      <w:lang w:eastAsia="es-MX"/>
                    </w:rPr>
                  </w:pPr>
                  <w:r w:rsidRPr="00C8432F">
                    <w:rPr>
                      <w:rFonts w:ascii="Arial" w:eastAsia="Times New Roman" w:hAnsi="Arial" w:cs="Arial"/>
                      <w:color w:val="000000"/>
                      <w:sz w:val="20"/>
                      <w:szCs w:val="24"/>
                      <w:lang w:eastAsia="es-MX"/>
                    </w:rPr>
                    <w:t>I.-…</w:t>
                  </w:r>
                </w:p>
                <w:p w:rsidR="00E0197E" w:rsidRPr="00C8432F" w:rsidRDefault="00E0197E" w:rsidP="00E0197E">
                  <w:pPr>
                    <w:spacing w:after="0" w:line="240" w:lineRule="auto"/>
                    <w:rPr>
                      <w:rFonts w:ascii="Arial" w:eastAsia="Times New Roman" w:hAnsi="Arial" w:cs="Arial"/>
                      <w:color w:val="000000"/>
                      <w:sz w:val="20"/>
                      <w:szCs w:val="24"/>
                      <w:lang w:eastAsia="es-MX"/>
                    </w:rPr>
                  </w:pPr>
                  <w:r w:rsidRPr="00C8432F">
                    <w:rPr>
                      <w:rFonts w:ascii="Arial" w:eastAsia="Times New Roman" w:hAnsi="Arial" w:cs="Arial"/>
                      <w:color w:val="000000"/>
                      <w:sz w:val="20"/>
                      <w:szCs w:val="24"/>
                      <w:lang w:eastAsia="es-MX"/>
                    </w:rPr>
                    <w:t>II.-…</w:t>
                  </w:r>
                </w:p>
                <w:p w:rsidR="00E0197E" w:rsidRPr="00C8432F" w:rsidRDefault="00E0197E" w:rsidP="00E0197E">
                  <w:pPr>
                    <w:spacing w:after="0" w:line="240" w:lineRule="auto"/>
                    <w:rPr>
                      <w:rFonts w:ascii="Arial" w:eastAsia="Times New Roman" w:hAnsi="Arial" w:cs="Arial"/>
                      <w:color w:val="000000"/>
                      <w:sz w:val="20"/>
                      <w:szCs w:val="24"/>
                      <w:lang w:eastAsia="es-MX"/>
                    </w:rPr>
                  </w:pPr>
                  <w:r w:rsidRPr="00C8432F">
                    <w:rPr>
                      <w:rFonts w:ascii="Arial" w:eastAsia="Times New Roman" w:hAnsi="Arial" w:cs="Arial"/>
                      <w:color w:val="000000"/>
                      <w:sz w:val="20"/>
                      <w:szCs w:val="24"/>
                      <w:lang w:eastAsia="es-MX"/>
                    </w:rPr>
                    <w:t>III.-…</w:t>
                  </w:r>
                </w:p>
                <w:p w:rsidR="00E0197E" w:rsidRPr="00644501" w:rsidRDefault="00E0197E" w:rsidP="00E0197E">
                  <w:pPr>
                    <w:spacing w:after="0" w:line="240" w:lineRule="auto"/>
                    <w:rPr>
                      <w:rFonts w:ascii="Arial" w:eastAsia="Times New Roman" w:hAnsi="Arial" w:cs="Arial"/>
                      <w:color w:val="000000"/>
                      <w:sz w:val="20"/>
                      <w:szCs w:val="24"/>
                      <w:lang w:eastAsia="es-MX"/>
                    </w:rPr>
                  </w:pPr>
                  <w:r w:rsidRPr="00C8432F">
                    <w:rPr>
                      <w:rFonts w:ascii="Arial" w:eastAsia="Times New Roman" w:hAnsi="Arial" w:cs="Arial"/>
                      <w:color w:val="000000"/>
                      <w:sz w:val="20"/>
                      <w:szCs w:val="24"/>
                      <w:lang w:eastAsia="es-MX"/>
                    </w:rPr>
                    <w:t>VII. Desempeñar su misión sin solicitar ni aceptar compensaciones, pagos o gratificaciones distintas a las previstas legalmente. En particular se opondrán a cualquier acto de corrupción y, en caso de tener conocimiento de alguno, deberán denunciarlo;</w:t>
                  </w:r>
                </w:p>
              </w:tc>
              <w:tc>
                <w:tcPr>
                  <w:tcW w:w="970" w:type="pct"/>
                  <w:noWrap/>
                  <w:vAlign w:val="bottom"/>
                </w:tcPr>
                <w:p w:rsidR="00E0197E" w:rsidRPr="000948EA" w:rsidRDefault="00E0197E" w:rsidP="00E0197E">
                  <w:pPr>
                    <w:spacing w:after="0" w:line="240" w:lineRule="auto"/>
                    <w:rPr>
                      <w:rFonts w:ascii="Arial" w:eastAsia="Times New Roman" w:hAnsi="Arial" w:cs="Arial"/>
                      <w:color w:val="000000"/>
                      <w:sz w:val="20"/>
                      <w:szCs w:val="24"/>
                      <w:lang w:eastAsia="es-MX"/>
                    </w:rPr>
                  </w:pPr>
                </w:p>
              </w:tc>
            </w:tr>
            <w:tr w:rsidR="00E0197E" w:rsidTr="00AE393A">
              <w:trPr>
                <w:trHeight w:val="100"/>
              </w:trPr>
              <w:tc>
                <w:tcPr>
                  <w:tcW w:w="4030" w:type="pct"/>
                  <w:vAlign w:val="bottom"/>
                </w:tcPr>
                <w:p w:rsidR="00E0197E" w:rsidRPr="00EA3E6C" w:rsidRDefault="00E0197E" w:rsidP="00E0197E">
                  <w:pPr>
                    <w:rPr>
                      <w:rFonts w:ascii="Arial" w:eastAsia="Times New Roman" w:hAnsi="Arial" w:cs="Arial"/>
                      <w:color w:val="000000"/>
                      <w:sz w:val="2"/>
                      <w:szCs w:val="4"/>
                      <w:lang w:eastAsia="es-MX"/>
                    </w:rPr>
                  </w:pPr>
                </w:p>
              </w:tc>
              <w:tc>
                <w:tcPr>
                  <w:tcW w:w="970" w:type="pct"/>
                  <w:noWrap/>
                  <w:vAlign w:val="bottom"/>
                </w:tcPr>
                <w:p w:rsidR="00E0197E" w:rsidRDefault="00E0197E" w:rsidP="00E0197E">
                  <w:pPr>
                    <w:spacing w:after="0" w:line="240" w:lineRule="auto"/>
                    <w:jc w:val="right"/>
                    <w:rPr>
                      <w:rFonts w:ascii="Arial" w:eastAsia="Times New Roman" w:hAnsi="Arial" w:cs="Arial"/>
                      <w:color w:val="000000"/>
                      <w:sz w:val="16"/>
                      <w:szCs w:val="20"/>
                      <w:lang w:eastAsia="es-MX"/>
                    </w:rPr>
                  </w:pPr>
                </w:p>
              </w:tc>
            </w:tr>
          </w:tbl>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Indicar si es:</w:t>
            </w:r>
          </w:p>
          <w:p w:rsidR="009102BF" w:rsidRDefault="009102BF">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Impuesto:</w:t>
            </w:r>
          </w:p>
          <w:p w:rsidR="009102BF" w:rsidRDefault="009102BF">
            <w:pPr>
              <w:spacing w:line="240" w:lineRule="auto"/>
              <w:rPr>
                <w:rFonts w:ascii="Arial" w:hAnsi="Arial" w:cs="Arial"/>
              </w:rPr>
            </w:pPr>
            <w:r>
              <w:rPr>
                <w:rFonts w:ascii="Arial" w:hAnsi="Arial" w:cs="Arial"/>
              </w:rPr>
              <w:t>Derecho:  X</w:t>
            </w:r>
          </w:p>
          <w:p w:rsidR="009102BF" w:rsidRDefault="009102BF">
            <w:pPr>
              <w:spacing w:line="240" w:lineRule="auto"/>
              <w:rPr>
                <w:rFonts w:ascii="Arial" w:hAnsi="Arial" w:cs="Arial"/>
              </w:rPr>
            </w:pPr>
            <w:r>
              <w:rPr>
                <w:rFonts w:ascii="Arial" w:hAnsi="Arial" w:cs="Arial"/>
              </w:rPr>
              <w:t>Otra:</w:t>
            </w:r>
          </w:p>
          <w:p w:rsidR="009102BF" w:rsidRDefault="009102BF">
            <w:pPr>
              <w:spacing w:line="240" w:lineRule="auto"/>
              <w:rPr>
                <w:rFonts w:ascii="Arial" w:hAnsi="Arial" w:cs="Arial"/>
              </w:rPr>
            </w:pPr>
          </w:p>
        </w:tc>
      </w:tr>
      <w:tr w:rsidR="009102BF" w:rsidTr="009102BF">
        <w:tc>
          <w:tcPr>
            <w:tcW w:w="9054" w:type="dxa"/>
            <w:gridSpan w:val="5"/>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Nueva contribución propuesta:</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Indicar si es:</w:t>
            </w:r>
          </w:p>
          <w:p w:rsidR="009102BF" w:rsidRDefault="009102BF">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Impuesto:</w:t>
            </w:r>
          </w:p>
          <w:p w:rsidR="009102BF" w:rsidRDefault="009102BF">
            <w:pPr>
              <w:spacing w:line="240" w:lineRule="auto"/>
              <w:rPr>
                <w:rFonts w:ascii="Arial" w:hAnsi="Arial" w:cs="Arial"/>
              </w:rPr>
            </w:pPr>
            <w:r>
              <w:rPr>
                <w:rFonts w:ascii="Arial" w:hAnsi="Arial" w:cs="Arial"/>
              </w:rPr>
              <w:t>Derecho: X</w:t>
            </w:r>
          </w:p>
          <w:p w:rsidR="009102BF" w:rsidRDefault="009102BF">
            <w:pPr>
              <w:spacing w:line="240" w:lineRule="auto"/>
              <w:rPr>
                <w:rFonts w:ascii="Arial" w:hAnsi="Arial" w:cs="Arial"/>
              </w:rPr>
            </w:pPr>
            <w:r>
              <w:rPr>
                <w:rFonts w:ascii="Arial" w:hAnsi="Arial" w:cs="Arial"/>
              </w:rPr>
              <w:t>Otra:</w:t>
            </w:r>
          </w:p>
          <w:p w:rsidR="009102BF" w:rsidRDefault="009102BF">
            <w:pPr>
              <w:spacing w:line="240" w:lineRule="auto"/>
              <w:rPr>
                <w:rFonts w:ascii="Arial" w:hAnsi="Arial" w:cs="Arial"/>
              </w:rPr>
            </w:pPr>
          </w:p>
        </w:tc>
      </w:tr>
      <w:tr w:rsidR="009102BF" w:rsidTr="009102BF">
        <w:tc>
          <w:tcPr>
            <w:tcW w:w="9054" w:type="dxa"/>
            <w:gridSpan w:val="5"/>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center"/>
              <w:rPr>
                <w:rFonts w:ascii="Arial" w:hAnsi="Arial" w:cs="Arial"/>
                <w:b/>
              </w:rPr>
            </w:pPr>
          </w:p>
          <w:p w:rsidR="009102BF" w:rsidRDefault="009102BF">
            <w:pPr>
              <w:spacing w:line="240" w:lineRule="auto"/>
              <w:jc w:val="center"/>
              <w:rPr>
                <w:rFonts w:ascii="Arial" w:hAnsi="Arial" w:cs="Arial"/>
                <w:b/>
              </w:rPr>
            </w:pPr>
            <w:r>
              <w:rPr>
                <w:rFonts w:ascii="Arial" w:hAnsi="Arial" w:cs="Arial"/>
                <w:b/>
              </w:rPr>
              <w:t>Apartado para contribuciones actuales y nuevas:</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Sujeto: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hAnsi="Arial" w:cs="Arial"/>
              </w:rPr>
            </w:pPr>
            <w:r>
              <w:rPr>
                <w:rFonts w:ascii="Arial" w:hAnsi="Arial" w:cs="Arial"/>
              </w:rPr>
              <w:t>Personas físicas o personas morales que requieran</w:t>
            </w:r>
            <w:r w:rsidR="00E0197E">
              <w:rPr>
                <w:rFonts w:ascii="Arial" w:hAnsi="Arial" w:cs="Arial"/>
              </w:rPr>
              <w:t xml:space="preserve"> el servicio de vigilancia.</w:t>
            </w:r>
          </w:p>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Objeto: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E0197E">
            <w:pPr>
              <w:spacing w:line="240" w:lineRule="auto"/>
              <w:jc w:val="both"/>
              <w:rPr>
                <w:rFonts w:ascii="Arial" w:hAnsi="Arial" w:cs="Arial"/>
              </w:rPr>
            </w:pPr>
            <w:r>
              <w:rPr>
                <w:rFonts w:ascii="Arial" w:hAnsi="Arial" w:cs="Arial"/>
              </w:rPr>
              <w:t>Contar con elementos de seguridad publica en el evento a realizar.</w:t>
            </w:r>
          </w:p>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Base:</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E0197E">
            <w:pPr>
              <w:spacing w:line="240" w:lineRule="auto"/>
              <w:rPr>
                <w:rFonts w:ascii="Arial" w:hAnsi="Arial" w:cs="Arial"/>
              </w:rPr>
            </w:pPr>
            <w:r>
              <w:rPr>
                <w:rFonts w:ascii="Arial" w:hAnsi="Arial" w:cs="Arial"/>
              </w:rPr>
              <w:t>Por elemento policiaco vigilando durante 6 horas</w:t>
            </w:r>
          </w:p>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Tasa o tarifa:</w:t>
            </w:r>
          </w:p>
        </w:tc>
        <w:tc>
          <w:tcPr>
            <w:tcW w:w="6111" w:type="dxa"/>
            <w:gridSpan w:val="4"/>
            <w:tcBorders>
              <w:top w:val="single" w:sz="4" w:space="0" w:color="auto"/>
              <w:left w:val="single" w:sz="4" w:space="0" w:color="auto"/>
              <w:bottom w:val="single" w:sz="4" w:space="0" w:color="auto"/>
              <w:right w:val="single" w:sz="4" w:space="0" w:color="auto"/>
            </w:tcBorders>
            <w:hideMark/>
          </w:tcPr>
          <w:p w:rsidR="00E0197E" w:rsidRPr="00CB1550" w:rsidRDefault="00E0197E" w:rsidP="00E0197E">
            <w:pPr>
              <w:tabs>
                <w:tab w:val="left" w:pos="1578"/>
              </w:tabs>
              <w:spacing w:line="360" w:lineRule="auto"/>
              <w:jc w:val="both"/>
              <w:rPr>
                <w:rFonts w:ascii="Arial" w:eastAsia="Times New Roman" w:hAnsi="Arial" w:cs="Arial"/>
                <w:sz w:val="20"/>
                <w:szCs w:val="20"/>
                <w:lang w:eastAsia="es-MX"/>
              </w:rPr>
            </w:pPr>
            <w:r w:rsidRPr="00CB1550">
              <w:rPr>
                <w:rFonts w:ascii="Arial" w:eastAsia="Times New Roman" w:hAnsi="Arial" w:cs="Arial"/>
                <w:sz w:val="20"/>
                <w:szCs w:val="20"/>
                <w:lang w:eastAsia="es-MX"/>
              </w:rPr>
              <w:t>I.- Pago de vigilancia por evento, por elemento policial con duración de 6 horas, con un costo de $379.24</w:t>
            </w:r>
          </w:p>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Tipo de estudio para medir el</w:t>
            </w:r>
          </w:p>
          <w:p w:rsidR="009102BF" w:rsidRDefault="009102BF">
            <w:pPr>
              <w:spacing w:line="240" w:lineRule="auto"/>
              <w:jc w:val="center"/>
              <w:rPr>
                <w:rFonts w:ascii="Arial" w:hAnsi="Arial" w:cs="Arial"/>
              </w:rPr>
            </w:pPr>
            <w:r>
              <w:rPr>
                <w:rFonts w:ascii="Arial" w:hAnsi="Arial" w:cs="Arial"/>
              </w:rPr>
              <w:t>Impacto recaudatorio esperado: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Técnico:</w:t>
            </w:r>
          </w:p>
          <w:p w:rsidR="009102BF" w:rsidRDefault="00E30CF6">
            <w:pPr>
              <w:spacing w:line="240" w:lineRule="auto"/>
              <w:rPr>
                <w:rFonts w:ascii="Arial" w:hAnsi="Arial" w:cs="Arial"/>
              </w:rPr>
            </w:pPr>
            <w:r>
              <w:rPr>
                <w:rFonts w:ascii="Arial" w:hAnsi="Arial" w:cs="Arial"/>
              </w:rPr>
              <w:t xml:space="preserve">No aplica, es de </w:t>
            </w:r>
            <w:r w:rsidR="00E0197E">
              <w:rPr>
                <w:rFonts w:ascii="Arial" w:hAnsi="Arial" w:cs="Arial"/>
              </w:rPr>
              <w:t>fundamento normativo</w:t>
            </w:r>
          </w:p>
          <w:p w:rsidR="009102BF" w:rsidRDefault="009102BF">
            <w:pPr>
              <w:spacing w:line="240" w:lineRule="auto"/>
              <w:rPr>
                <w:rFonts w:ascii="Arial" w:hAnsi="Arial" w:cs="Arial"/>
              </w:rPr>
            </w:pPr>
          </w:p>
          <w:p w:rsidR="009102BF" w:rsidRDefault="009102BF">
            <w:pPr>
              <w:spacing w:line="240" w:lineRule="auto"/>
              <w:rPr>
                <w:rFonts w:ascii="Arial" w:hAnsi="Arial" w:cs="Arial"/>
              </w:rPr>
            </w:pPr>
            <w:r>
              <w:rPr>
                <w:rFonts w:ascii="Arial" w:hAnsi="Arial" w:cs="Arial"/>
              </w:rPr>
              <w:t>Análisis social:</w:t>
            </w:r>
          </w:p>
          <w:p w:rsidR="009102BF" w:rsidRDefault="009102BF">
            <w:pPr>
              <w:spacing w:line="240" w:lineRule="auto"/>
              <w:rPr>
                <w:rFonts w:ascii="Arial" w:hAnsi="Arial" w:cs="Arial"/>
              </w:rPr>
            </w:pPr>
            <w:r>
              <w:rPr>
                <w:rFonts w:ascii="Arial" w:hAnsi="Arial" w:cs="Arial"/>
              </w:rPr>
              <w:t xml:space="preserve">Servicio proporcionado de manera </w:t>
            </w:r>
            <w:r w:rsidR="00E0197E">
              <w:rPr>
                <w:rFonts w:ascii="Arial" w:hAnsi="Arial" w:cs="Arial"/>
              </w:rPr>
              <w:t>gratuita</w:t>
            </w:r>
          </w:p>
          <w:p w:rsidR="009102BF" w:rsidRDefault="009102BF">
            <w:pPr>
              <w:spacing w:line="240" w:lineRule="auto"/>
              <w:rPr>
                <w:rFonts w:ascii="Arial" w:hAnsi="Arial" w:cs="Arial"/>
              </w:rPr>
            </w:pPr>
          </w:p>
          <w:p w:rsidR="009102BF" w:rsidRPr="009E672A" w:rsidRDefault="009102BF">
            <w:pPr>
              <w:spacing w:line="240" w:lineRule="auto"/>
              <w:rPr>
                <w:rFonts w:ascii="Arial" w:hAnsi="Arial" w:cs="Arial"/>
              </w:rPr>
            </w:pPr>
            <w:r w:rsidRPr="009E672A">
              <w:rPr>
                <w:rFonts w:ascii="Arial" w:hAnsi="Arial" w:cs="Arial"/>
              </w:rPr>
              <w:t>Proyección recaudatoria:</w:t>
            </w:r>
          </w:p>
          <w:p w:rsidR="009102BF" w:rsidRPr="009E672A" w:rsidRDefault="00E0197E">
            <w:pPr>
              <w:spacing w:line="240" w:lineRule="auto"/>
              <w:jc w:val="both"/>
              <w:rPr>
                <w:rFonts w:ascii="Arial" w:hAnsi="Arial" w:cs="Arial"/>
                <w:highlight w:val="yellow"/>
              </w:rPr>
            </w:pPr>
            <w:r>
              <w:rPr>
                <w:rFonts w:ascii="Arial" w:hAnsi="Arial" w:cs="Arial"/>
              </w:rPr>
              <w:t>Sin recaudación al no estar facultados para su cobro</w:t>
            </w:r>
          </w:p>
          <w:p w:rsidR="009102BF" w:rsidRDefault="009102BF">
            <w:pPr>
              <w:spacing w:line="240" w:lineRule="auto"/>
              <w:jc w:val="both"/>
              <w:rPr>
                <w:rFonts w:ascii="Arial" w:hAnsi="Arial" w:cs="Arial"/>
              </w:rPr>
            </w:pPr>
          </w:p>
          <w:p w:rsidR="009102BF" w:rsidRDefault="009102BF" w:rsidP="00E30CF6">
            <w:pPr>
              <w:spacing w:line="240" w:lineRule="auto"/>
              <w:jc w:val="both"/>
              <w:rPr>
                <w:rFonts w:ascii="Arial" w:hAnsi="Arial" w:cs="Arial"/>
              </w:rPr>
            </w:pPr>
          </w:p>
        </w:tc>
      </w:tr>
      <w:tr w:rsidR="009102BF" w:rsidTr="009102BF">
        <w:tc>
          <w:tcPr>
            <w:tcW w:w="9054" w:type="dxa"/>
            <w:gridSpan w:val="5"/>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b/>
              </w:rPr>
            </w:pPr>
            <w:r>
              <w:rPr>
                <w:rFonts w:ascii="Arial" w:hAnsi="Arial" w:cs="Arial"/>
                <w:b/>
              </w:rPr>
              <w:t>Elementos y alcances de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Descripción de la proporcionalidad en relación a la capacidad contributiva del contribuyente:</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hAnsi="Arial" w:cs="Arial"/>
              </w:rPr>
            </w:pPr>
          </w:p>
          <w:p w:rsidR="0092397C" w:rsidRDefault="00E30CF6">
            <w:pPr>
              <w:spacing w:line="240" w:lineRule="auto"/>
              <w:jc w:val="both"/>
              <w:rPr>
                <w:rFonts w:ascii="Arial" w:hAnsi="Arial" w:cs="Arial"/>
              </w:rPr>
            </w:pPr>
            <w:r>
              <w:rPr>
                <w:rFonts w:ascii="Arial" w:hAnsi="Arial" w:cs="Arial"/>
              </w:rPr>
              <w:t xml:space="preserve">La modificación no </w:t>
            </w:r>
            <w:r w:rsidR="009102BF">
              <w:rPr>
                <w:rFonts w:ascii="Arial" w:hAnsi="Arial" w:cs="Arial"/>
              </w:rPr>
              <w:t xml:space="preserve">representa un impacto </w:t>
            </w:r>
            <w:r>
              <w:rPr>
                <w:rFonts w:ascii="Arial" w:hAnsi="Arial" w:cs="Arial"/>
              </w:rPr>
              <w:t>recaudatorio para e</w:t>
            </w:r>
            <w:r w:rsidR="009102BF">
              <w:rPr>
                <w:rFonts w:ascii="Arial" w:hAnsi="Arial" w:cs="Arial"/>
              </w:rPr>
              <w:t xml:space="preserve">l ciudadano </w:t>
            </w:r>
            <w:r w:rsidR="0092397C">
              <w:rPr>
                <w:rFonts w:ascii="Arial" w:hAnsi="Arial" w:cs="Arial"/>
              </w:rPr>
              <w:t xml:space="preserve">pues el Municipio a través de la Dirección de Seguridad Ciudadana, está imposibilitado a cobrar dicho servicio, pues la obligación es efectuar rondines de seguridad en las diversas zonas. </w:t>
            </w:r>
          </w:p>
          <w:p w:rsidR="009102BF" w:rsidRDefault="009102BF" w:rsidP="0092397C">
            <w:pPr>
              <w:spacing w:line="240" w:lineRule="auto"/>
              <w:jc w:val="both"/>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Descripción de la equidad en el cobro: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2397C">
            <w:pPr>
              <w:spacing w:line="240" w:lineRule="auto"/>
              <w:jc w:val="both"/>
              <w:rPr>
                <w:rFonts w:ascii="Arial" w:hAnsi="Arial" w:cs="Arial"/>
              </w:rPr>
            </w:pPr>
            <w:r>
              <w:rPr>
                <w:rFonts w:ascii="Arial" w:hAnsi="Arial" w:cs="Arial"/>
              </w:rPr>
              <w:t>Se propone eliminar el cobro</w:t>
            </w:r>
          </w:p>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Impacto social:</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2397C">
            <w:pPr>
              <w:spacing w:line="240" w:lineRule="auto"/>
              <w:rPr>
                <w:rFonts w:ascii="Arial" w:hAnsi="Arial" w:cs="Arial"/>
              </w:rPr>
            </w:pPr>
            <w:r>
              <w:rPr>
                <w:rFonts w:ascii="Arial" w:hAnsi="Arial" w:cs="Arial"/>
              </w:rPr>
              <w:t>No existirá impacto social, pues desde hace 3 años no se cobra esta contribución, al no tener facultad para realizarlo.</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Estrategia en la gestión recaudatoria:</w:t>
            </w:r>
          </w:p>
        </w:tc>
        <w:tc>
          <w:tcPr>
            <w:tcW w:w="6111" w:type="dxa"/>
            <w:gridSpan w:val="4"/>
            <w:tcBorders>
              <w:top w:val="single" w:sz="4" w:space="0" w:color="auto"/>
              <w:left w:val="single" w:sz="4" w:space="0" w:color="auto"/>
              <w:bottom w:val="single" w:sz="4" w:space="0" w:color="auto"/>
              <w:right w:val="single" w:sz="4" w:space="0" w:color="auto"/>
            </w:tcBorders>
            <w:hideMark/>
          </w:tcPr>
          <w:p w:rsidR="009102BF" w:rsidRDefault="0092397C">
            <w:pPr>
              <w:spacing w:line="240" w:lineRule="auto"/>
              <w:rPr>
                <w:rFonts w:ascii="Arial" w:hAnsi="Arial" w:cs="Arial"/>
              </w:rPr>
            </w:pPr>
            <w:r>
              <w:rPr>
                <w:rFonts w:ascii="Arial" w:hAnsi="Arial" w:cs="Arial"/>
              </w:rPr>
              <w:t>Sin recaudación</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center"/>
              <w:rPr>
                <w:rFonts w:ascii="Arial" w:hAnsi="Arial" w:cs="Arial"/>
              </w:rPr>
            </w:pPr>
            <w:r>
              <w:rPr>
                <w:rFonts w:ascii="Arial" w:hAnsi="Arial" w:cs="Arial"/>
              </w:rPr>
              <w:t>Administración de la contribución:</w:t>
            </w:r>
          </w:p>
          <w:p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2397C">
            <w:pPr>
              <w:spacing w:line="240" w:lineRule="auto"/>
              <w:jc w:val="both"/>
              <w:rPr>
                <w:rFonts w:ascii="Arial" w:hAnsi="Arial" w:cs="Arial"/>
              </w:rPr>
            </w:pPr>
            <w:r>
              <w:rPr>
                <w:rFonts w:ascii="Arial" w:hAnsi="Arial" w:cs="Arial"/>
              </w:rPr>
              <w:t>Sin recaudación</w:t>
            </w:r>
          </w:p>
          <w:p w:rsidR="009102BF" w:rsidRDefault="009102BF">
            <w:pPr>
              <w:spacing w:line="240" w:lineRule="auto"/>
              <w:jc w:val="both"/>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Argumentación:</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jc w:val="both"/>
              <w:rPr>
                <w:rFonts w:ascii="Arial" w:hAnsi="Arial" w:cs="Arial"/>
              </w:rPr>
            </w:pPr>
            <w:r>
              <w:rPr>
                <w:rFonts w:ascii="Arial" w:hAnsi="Arial" w:cs="Arial"/>
              </w:rPr>
              <w:t>*Explicación pormenorizada del porque los estudios realizados demuestran la intención de la iniciativa, y como es que estos se encuentran apegados al marco jurídico.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Antecedentes:</w:t>
            </w:r>
          </w:p>
          <w:p w:rsidR="0063108F" w:rsidRDefault="0092397C">
            <w:pPr>
              <w:spacing w:line="240" w:lineRule="auto"/>
              <w:rPr>
                <w:rFonts w:ascii="Arial" w:hAnsi="Arial" w:cs="Arial"/>
              </w:rPr>
            </w:pPr>
            <w:r>
              <w:rPr>
                <w:rFonts w:ascii="Arial" w:hAnsi="Arial" w:cs="Arial"/>
              </w:rPr>
              <w:t>Actualmente no se cobra dicha contribución ante no contar con facultad para realizarlo.</w:t>
            </w:r>
          </w:p>
          <w:p w:rsidR="0092397C" w:rsidRDefault="0092397C">
            <w:pPr>
              <w:spacing w:line="240" w:lineRule="auto"/>
              <w:rPr>
                <w:rFonts w:ascii="Arial" w:hAnsi="Arial" w:cs="Arial"/>
              </w:rPr>
            </w:pPr>
          </w:p>
          <w:p w:rsidR="009102BF" w:rsidRDefault="009102BF">
            <w:pPr>
              <w:spacing w:line="240" w:lineRule="auto"/>
              <w:rPr>
                <w:rFonts w:ascii="Arial" w:hAnsi="Arial" w:cs="Arial"/>
                <w:b/>
              </w:rPr>
            </w:pPr>
            <w:r>
              <w:rPr>
                <w:rFonts w:ascii="Arial" w:hAnsi="Arial" w:cs="Arial"/>
                <w:b/>
              </w:rPr>
              <w:t>Consideraciones que soportan el cambio:</w:t>
            </w:r>
          </w:p>
          <w:p w:rsidR="009102BF" w:rsidRDefault="0092397C">
            <w:pPr>
              <w:spacing w:line="240" w:lineRule="auto"/>
              <w:rPr>
                <w:rFonts w:ascii="Arial" w:hAnsi="Arial" w:cs="Arial"/>
              </w:rPr>
            </w:pPr>
            <w:r>
              <w:rPr>
                <w:rFonts w:ascii="Arial" w:hAnsi="Arial" w:cs="Arial"/>
              </w:rPr>
              <w:t>Actualizar la Ley de Ingresos.</w:t>
            </w:r>
          </w:p>
          <w:p w:rsidR="009102BF" w:rsidRDefault="009102BF">
            <w:pPr>
              <w:spacing w:line="240" w:lineRule="auto"/>
              <w:rPr>
                <w:rFonts w:ascii="Arial" w:hAnsi="Arial" w:cs="Arial"/>
              </w:rPr>
            </w:pPr>
          </w:p>
          <w:p w:rsidR="009102BF" w:rsidRDefault="009102BF">
            <w:pPr>
              <w:spacing w:line="240" w:lineRule="auto"/>
              <w:rPr>
                <w:rFonts w:ascii="Arial" w:hAnsi="Arial" w:cs="Arial"/>
                <w:b/>
              </w:rPr>
            </w:pPr>
            <w:r>
              <w:rPr>
                <w:rFonts w:ascii="Arial" w:hAnsi="Arial" w:cs="Arial"/>
                <w:b/>
              </w:rPr>
              <w:t>Propuesta de modificación:</w:t>
            </w:r>
          </w:p>
          <w:p w:rsidR="009102BF" w:rsidRDefault="00D805CD">
            <w:pPr>
              <w:spacing w:line="240" w:lineRule="auto"/>
              <w:jc w:val="both"/>
              <w:rPr>
                <w:rFonts w:ascii="Arial" w:hAnsi="Arial" w:cs="Arial"/>
              </w:rPr>
            </w:pPr>
            <w:r>
              <w:rPr>
                <w:rFonts w:ascii="Arial" w:hAnsi="Arial" w:cs="Arial"/>
              </w:rPr>
              <w:t>Eliminar la tarifa</w:t>
            </w:r>
          </w:p>
          <w:p w:rsidR="0092397C" w:rsidRDefault="0092397C">
            <w:pPr>
              <w:spacing w:line="240" w:lineRule="auto"/>
              <w:jc w:val="both"/>
              <w:rPr>
                <w:rFonts w:ascii="Arial" w:hAnsi="Arial" w:cs="Arial"/>
              </w:rPr>
            </w:pPr>
          </w:p>
          <w:p w:rsidR="009102BF" w:rsidRDefault="009102BF">
            <w:pPr>
              <w:spacing w:line="240" w:lineRule="auto"/>
              <w:rPr>
                <w:rFonts w:ascii="Arial" w:hAnsi="Arial" w:cs="Arial"/>
                <w:b/>
              </w:rPr>
            </w:pPr>
            <w:r>
              <w:rPr>
                <w:rFonts w:ascii="Arial" w:hAnsi="Arial" w:cs="Arial"/>
                <w:b/>
              </w:rPr>
              <w:t>Conclusiones:</w:t>
            </w:r>
          </w:p>
          <w:p w:rsidR="009102BF" w:rsidRDefault="0063108F">
            <w:pPr>
              <w:spacing w:line="240" w:lineRule="auto"/>
              <w:rPr>
                <w:rFonts w:ascii="Arial" w:hAnsi="Arial" w:cs="Arial"/>
              </w:rPr>
            </w:pPr>
            <w:r>
              <w:rPr>
                <w:rFonts w:ascii="Arial" w:hAnsi="Arial" w:cs="Arial"/>
              </w:rPr>
              <w:t>La modificación</w:t>
            </w:r>
            <w:r w:rsidR="00D805CD">
              <w:rPr>
                <w:rFonts w:ascii="Arial" w:hAnsi="Arial" w:cs="Arial"/>
              </w:rPr>
              <w:t xml:space="preserve"> permitirá contar con una ley actualizada, y tener una certeza jurídica sobre las acciones de recaudación.</w:t>
            </w:r>
            <w:bookmarkStart w:id="0" w:name="_GoBack"/>
            <w:bookmarkEnd w:id="0"/>
          </w:p>
          <w:p w:rsidR="009102BF" w:rsidRDefault="009102BF">
            <w:pPr>
              <w:spacing w:line="240" w:lineRule="auto"/>
              <w:rPr>
                <w:rFonts w:ascii="Arial" w:hAnsi="Arial" w:cs="Arial"/>
              </w:rPr>
            </w:pPr>
          </w:p>
        </w:tc>
      </w:tr>
    </w:tbl>
    <w:p w:rsidR="009102BF" w:rsidRDefault="009102BF" w:rsidP="009102BF">
      <w:pPr>
        <w:rPr>
          <w:rFonts w:ascii="Arial" w:hAnsi="Arial" w:cs="Arial"/>
          <w:sz w:val="36"/>
          <w:szCs w:val="36"/>
        </w:rPr>
      </w:pPr>
    </w:p>
    <w:p w:rsidR="007F5AD1" w:rsidRDefault="007F5AD1" w:rsidP="00AC029A">
      <w:pPr>
        <w:ind w:firstLine="708"/>
        <w:rPr>
          <w:rFonts w:ascii="Arial" w:hAnsi="Arial" w:cs="Arial"/>
          <w:sz w:val="36"/>
          <w:szCs w:val="36"/>
        </w:rPr>
      </w:pPr>
    </w:p>
    <w:sectPr w:rsidR="007F5AD1" w:rsidSect="00091010">
      <w:footerReference w:type="default" r:id="rId8"/>
      <w:type w:val="continuous"/>
      <w:pgSz w:w="12240" w:h="15840"/>
      <w:pgMar w:top="1942"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288" w:rsidRDefault="00905288" w:rsidP="00826AB6">
      <w:pPr>
        <w:spacing w:after="0" w:line="240" w:lineRule="auto"/>
      </w:pPr>
      <w:r>
        <w:separator/>
      </w:r>
    </w:p>
  </w:endnote>
  <w:endnote w:type="continuationSeparator" w:id="0">
    <w:p w:rsidR="00905288" w:rsidRDefault="00905288" w:rsidP="00826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889" w:rsidRDefault="00067889">
    <w:pPr>
      <w:pStyle w:val="Piedepgina"/>
      <w:jc w:val="right"/>
    </w:pPr>
  </w:p>
  <w:p w:rsidR="00067889" w:rsidRDefault="0006788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288" w:rsidRDefault="00905288" w:rsidP="00826AB6">
      <w:pPr>
        <w:spacing w:after="0" w:line="240" w:lineRule="auto"/>
      </w:pPr>
      <w:r>
        <w:separator/>
      </w:r>
    </w:p>
  </w:footnote>
  <w:footnote w:type="continuationSeparator" w:id="0">
    <w:p w:rsidR="00905288" w:rsidRDefault="00905288" w:rsidP="00826A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357"/>
    <w:rsid w:val="00006712"/>
    <w:rsid w:val="0001785F"/>
    <w:rsid w:val="00046624"/>
    <w:rsid w:val="00067889"/>
    <w:rsid w:val="00081F05"/>
    <w:rsid w:val="00085038"/>
    <w:rsid w:val="00091010"/>
    <w:rsid w:val="00091C4E"/>
    <w:rsid w:val="000A084B"/>
    <w:rsid w:val="000A3FCE"/>
    <w:rsid w:val="000B727B"/>
    <w:rsid w:val="000E3B32"/>
    <w:rsid w:val="000E6F98"/>
    <w:rsid w:val="0011204A"/>
    <w:rsid w:val="00116544"/>
    <w:rsid w:val="001532D0"/>
    <w:rsid w:val="001A0A77"/>
    <w:rsid w:val="001A1DDA"/>
    <w:rsid w:val="001A24A9"/>
    <w:rsid w:val="001E0130"/>
    <w:rsid w:val="001E1117"/>
    <w:rsid w:val="001E6A73"/>
    <w:rsid w:val="00200981"/>
    <w:rsid w:val="00216808"/>
    <w:rsid w:val="002B2D7A"/>
    <w:rsid w:val="002B4B62"/>
    <w:rsid w:val="002D0A9A"/>
    <w:rsid w:val="002E41E1"/>
    <w:rsid w:val="003118BE"/>
    <w:rsid w:val="0033577E"/>
    <w:rsid w:val="003638E7"/>
    <w:rsid w:val="0037179E"/>
    <w:rsid w:val="003B636D"/>
    <w:rsid w:val="003E7C71"/>
    <w:rsid w:val="00402299"/>
    <w:rsid w:val="00411570"/>
    <w:rsid w:val="00412808"/>
    <w:rsid w:val="00416BAD"/>
    <w:rsid w:val="00423B5B"/>
    <w:rsid w:val="00424EFA"/>
    <w:rsid w:val="00456736"/>
    <w:rsid w:val="004907B0"/>
    <w:rsid w:val="00497B19"/>
    <w:rsid w:val="004B711E"/>
    <w:rsid w:val="004C2494"/>
    <w:rsid w:val="004C583F"/>
    <w:rsid w:val="004E4291"/>
    <w:rsid w:val="005026D6"/>
    <w:rsid w:val="00561FE7"/>
    <w:rsid w:val="00563833"/>
    <w:rsid w:val="0056593E"/>
    <w:rsid w:val="005A0D87"/>
    <w:rsid w:val="005A288A"/>
    <w:rsid w:val="005B45CC"/>
    <w:rsid w:val="005B69F4"/>
    <w:rsid w:val="005C6579"/>
    <w:rsid w:val="005D06CA"/>
    <w:rsid w:val="005E1FAC"/>
    <w:rsid w:val="005F5BCA"/>
    <w:rsid w:val="00606564"/>
    <w:rsid w:val="00606F44"/>
    <w:rsid w:val="00625C9D"/>
    <w:rsid w:val="0063108F"/>
    <w:rsid w:val="006A1695"/>
    <w:rsid w:val="006B552D"/>
    <w:rsid w:val="007059F2"/>
    <w:rsid w:val="007259BD"/>
    <w:rsid w:val="00747492"/>
    <w:rsid w:val="00752AEB"/>
    <w:rsid w:val="00753C27"/>
    <w:rsid w:val="00761333"/>
    <w:rsid w:val="00764BBE"/>
    <w:rsid w:val="007B5242"/>
    <w:rsid w:val="007C157D"/>
    <w:rsid w:val="007C33D7"/>
    <w:rsid w:val="007D0E96"/>
    <w:rsid w:val="007D70C5"/>
    <w:rsid w:val="007E654F"/>
    <w:rsid w:val="007F5AD1"/>
    <w:rsid w:val="0082599A"/>
    <w:rsid w:val="00826AB6"/>
    <w:rsid w:val="008729C4"/>
    <w:rsid w:val="00876399"/>
    <w:rsid w:val="008764A0"/>
    <w:rsid w:val="008825E5"/>
    <w:rsid w:val="008A304D"/>
    <w:rsid w:val="008A3DFC"/>
    <w:rsid w:val="008C5929"/>
    <w:rsid w:val="00901BE9"/>
    <w:rsid w:val="00905288"/>
    <w:rsid w:val="009102BF"/>
    <w:rsid w:val="00917DD5"/>
    <w:rsid w:val="0092397C"/>
    <w:rsid w:val="00926F6A"/>
    <w:rsid w:val="0093549C"/>
    <w:rsid w:val="0094497C"/>
    <w:rsid w:val="009524E4"/>
    <w:rsid w:val="00963CD6"/>
    <w:rsid w:val="009E5039"/>
    <w:rsid w:val="009E672A"/>
    <w:rsid w:val="009F127A"/>
    <w:rsid w:val="00A26D71"/>
    <w:rsid w:val="00A47819"/>
    <w:rsid w:val="00A81978"/>
    <w:rsid w:val="00A85525"/>
    <w:rsid w:val="00A85EFE"/>
    <w:rsid w:val="00AB3A7E"/>
    <w:rsid w:val="00AB7FCA"/>
    <w:rsid w:val="00AC029A"/>
    <w:rsid w:val="00AD7C11"/>
    <w:rsid w:val="00AF7C22"/>
    <w:rsid w:val="00B32600"/>
    <w:rsid w:val="00B52F1C"/>
    <w:rsid w:val="00B674E0"/>
    <w:rsid w:val="00B85611"/>
    <w:rsid w:val="00B92645"/>
    <w:rsid w:val="00B941B4"/>
    <w:rsid w:val="00BA57ED"/>
    <w:rsid w:val="00BA79A5"/>
    <w:rsid w:val="00BB5357"/>
    <w:rsid w:val="00BC196A"/>
    <w:rsid w:val="00BD188E"/>
    <w:rsid w:val="00BE1952"/>
    <w:rsid w:val="00BE2F10"/>
    <w:rsid w:val="00BE4368"/>
    <w:rsid w:val="00BF1D8F"/>
    <w:rsid w:val="00BF461D"/>
    <w:rsid w:val="00C16194"/>
    <w:rsid w:val="00C63824"/>
    <w:rsid w:val="00C66FE2"/>
    <w:rsid w:val="00C830ED"/>
    <w:rsid w:val="00CB69B6"/>
    <w:rsid w:val="00CC63FC"/>
    <w:rsid w:val="00CE3F11"/>
    <w:rsid w:val="00CE7AEC"/>
    <w:rsid w:val="00D2319B"/>
    <w:rsid w:val="00D60795"/>
    <w:rsid w:val="00D64BCB"/>
    <w:rsid w:val="00D805CD"/>
    <w:rsid w:val="00D8178B"/>
    <w:rsid w:val="00DA0BD4"/>
    <w:rsid w:val="00DA5FAB"/>
    <w:rsid w:val="00DB7A86"/>
    <w:rsid w:val="00DE3011"/>
    <w:rsid w:val="00E0197E"/>
    <w:rsid w:val="00E054F3"/>
    <w:rsid w:val="00E06368"/>
    <w:rsid w:val="00E30CF6"/>
    <w:rsid w:val="00E3289D"/>
    <w:rsid w:val="00E449A4"/>
    <w:rsid w:val="00E52270"/>
    <w:rsid w:val="00E56533"/>
    <w:rsid w:val="00E949FE"/>
    <w:rsid w:val="00EB7EC1"/>
    <w:rsid w:val="00EC2E33"/>
    <w:rsid w:val="00ED28DF"/>
    <w:rsid w:val="00ED2FFA"/>
    <w:rsid w:val="00EF3768"/>
    <w:rsid w:val="00EF7496"/>
    <w:rsid w:val="00F202B1"/>
    <w:rsid w:val="00F3359F"/>
    <w:rsid w:val="00F64F4A"/>
    <w:rsid w:val="00F91A40"/>
    <w:rsid w:val="00FB2CD2"/>
    <w:rsid w:val="00FC3493"/>
    <w:rsid w:val="00FC59B2"/>
    <w:rsid w:val="00FD33B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A290D2DB-9CDB-4CFA-BF1E-0C39CE86B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2BF"/>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6A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6AB6"/>
  </w:style>
  <w:style w:type="paragraph" w:styleId="Piedepgina">
    <w:name w:val="footer"/>
    <w:basedOn w:val="Normal"/>
    <w:link w:val="PiedepginaCar"/>
    <w:uiPriority w:val="99"/>
    <w:unhideWhenUsed/>
    <w:rsid w:val="00826A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6AB6"/>
  </w:style>
  <w:style w:type="paragraph" w:styleId="Prrafodelista">
    <w:name w:val="List Paragraph"/>
    <w:basedOn w:val="Normal"/>
    <w:uiPriority w:val="34"/>
    <w:qFormat/>
    <w:rsid w:val="007F5AD1"/>
    <w:pPr>
      <w:spacing w:line="259" w:lineRule="auto"/>
      <w:ind w:left="720"/>
      <w:contextualSpacing/>
    </w:pPr>
  </w:style>
  <w:style w:type="table" w:styleId="Tablaconcuadrcula">
    <w:name w:val="Table Grid"/>
    <w:basedOn w:val="Tablanormal"/>
    <w:uiPriority w:val="39"/>
    <w:rsid w:val="007F5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76399"/>
    <w:pPr>
      <w:spacing w:after="0" w:line="240" w:lineRule="auto"/>
    </w:pPr>
  </w:style>
  <w:style w:type="paragraph" w:styleId="NormalWeb">
    <w:name w:val="Normal (Web)"/>
    <w:basedOn w:val="Normal"/>
    <w:uiPriority w:val="99"/>
    <w:semiHidden/>
    <w:unhideWhenUsed/>
    <w:rsid w:val="005B45CC"/>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9E50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50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452250">
      <w:bodyDiv w:val="1"/>
      <w:marLeft w:val="0"/>
      <w:marRight w:val="0"/>
      <w:marTop w:val="0"/>
      <w:marBottom w:val="0"/>
      <w:divBdr>
        <w:top w:val="none" w:sz="0" w:space="0" w:color="auto"/>
        <w:left w:val="none" w:sz="0" w:space="0" w:color="auto"/>
        <w:bottom w:val="none" w:sz="0" w:space="0" w:color="auto"/>
        <w:right w:val="none" w:sz="0" w:space="0" w:color="auto"/>
      </w:divBdr>
    </w:div>
    <w:div w:id="295455755">
      <w:bodyDiv w:val="1"/>
      <w:marLeft w:val="0"/>
      <w:marRight w:val="0"/>
      <w:marTop w:val="0"/>
      <w:marBottom w:val="0"/>
      <w:divBdr>
        <w:top w:val="none" w:sz="0" w:space="0" w:color="auto"/>
        <w:left w:val="none" w:sz="0" w:space="0" w:color="auto"/>
        <w:bottom w:val="none" w:sz="0" w:space="0" w:color="auto"/>
        <w:right w:val="none" w:sz="0" w:space="0" w:color="auto"/>
      </w:divBdr>
    </w:div>
    <w:div w:id="407921775">
      <w:bodyDiv w:val="1"/>
      <w:marLeft w:val="0"/>
      <w:marRight w:val="0"/>
      <w:marTop w:val="0"/>
      <w:marBottom w:val="0"/>
      <w:divBdr>
        <w:top w:val="none" w:sz="0" w:space="0" w:color="auto"/>
        <w:left w:val="none" w:sz="0" w:space="0" w:color="auto"/>
        <w:bottom w:val="none" w:sz="0" w:space="0" w:color="auto"/>
        <w:right w:val="none" w:sz="0" w:space="0" w:color="auto"/>
      </w:divBdr>
    </w:div>
    <w:div w:id="419525056">
      <w:bodyDiv w:val="1"/>
      <w:marLeft w:val="0"/>
      <w:marRight w:val="0"/>
      <w:marTop w:val="0"/>
      <w:marBottom w:val="0"/>
      <w:divBdr>
        <w:top w:val="none" w:sz="0" w:space="0" w:color="auto"/>
        <w:left w:val="none" w:sz="0" w:space="0" w:color="auto"/>
        <w:bottom w:val="none" w:sz="0" w:space="0" w:color="auto"/>
        <w:right w:val="none" w:sz="0" w:space="0" w:color="auto"/>
      </w:divBdr>
    </w:div>
    <w:div w:id="741222646">
      <w:bodyDiv w:val="1"/>
      <w:marLeft w:val="0"/>
      <w:marRight w:val="0"/>
      <w:marTop w:val="0"/>
      <w:marBottom w:val="0"/>
      <w:divBdr>
        <w:top w:val="none" w:sz="0" w:space="0" w:color="auto"/>
        <w:left w:val="none" w:sz="0" w:space="0" w:color="auto"/>
        <w:bottom w:val="none" w:sz="0" w:space="0" w:color="auto"/>
        <w:right w:val="none" w:sz="0" w:space="0" w:color="auto"/>
      </w:divBdr>
    </w:div>
    <w:div w:id="1731265763">
      <w:bodyDiv w:val="1"/>
      <w:marLeft w:val="0"/>
      <w:marRight w:val="0"/>
      <w:marTop w:val="0"/>
      <w:marBottom w:val="0"/>
      <w:divBdr>
        <w:top w:val="none" w:sz="0" w:space="0" w:color="auto"/>
        <w:left w:val="none" w:sz="0" w:space="0" w:color="auto"/>
        <w:bottom w:val="none" w:sz="0" w:space="0" w:color="auto"/>
        <w:right w:val="none" w:sz="0" w:space="0" w:color="auto"/>
      </w:divBdr>
    </w:div>
    <w:div w:id="20496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E664B-50A4-4EA3-9A01-DF704A756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716</Words>
  <Characters>3942</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4649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Lara</dc:creator>
  <cp:lastModifiedBy>admin</cp:lastModifiedBy>
  <cp:revision>2</cp:revision>
  <cp:lastPrinted>2017-10-02T20:53:00Z</cp:lastPrinted>
  <dcterms:created xsi:type="dcterms:W3CDTF">2019-10-03T15:07:00Z</dcterms:created>
  <dcterms:modified xsi:type="dcterms:W3CDTF">2019-10-03T15:07:00Z</dcterms:modified>
</cp:coreProperties>
</file>